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hint="eastAsia" w:ascii="思源宋体 CN Light" w:hAnsi="思源宋体 CN Light" w:eastAsia="思源宋体 CN Light"/>
          <w:b/>
          <w:sz w:val="52"/>
          <w:szCs w:val="52"/>
        </w:rPr>
      </w:pPr>
      <w:r>
        <w:rPr>
          <w:rFonts w:ascii="思源宋体 CN Light" w:hAnsi="思源宋体 CN Light" w:eastAsia="思源宋体 CN Light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hint="default" w:ascii="思源宋体 CN Light" w:hAnsi="思源宋体 CN Light" w:eastAsia="思源宋体 CN Light"/>
          <w:b/>
          <w:sz w:val="52"/>
          <w:szCs w:val="52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思源宋体 CN Light" w:hAnsi="思源宋体 CN Light" w:eastAsia="思源宋体 CN Light"/>
          <w:b/>
          <w:sz w:val="52"/>
          <w:szCs w:val="52"/>
          <w:lang w:val="en-US" w:eastAsia="zh-CN"/>
        </w:rPr>
        <w:t>唱标异议功能</w:t>
      </w:r>
      <w:r>
        <w:rPr>
          <w:rFonts w:hint="eastAsia" w:ascii="思源宋体 CN Light" w:hAnsi="思源宋体 CN Light" w:eastAsia="思源宋体 CN Light"/>
          <w:b/>
          <w:sz w:val="52"/>
          <w:szCs w:val="52"/>
        </w:rPr>
        <w:t>操作手册</w:t>
      </w:r>
      <w:r>
        <w:rPr>
          <w:rFonts w:hint="eastAsia" w:ascii="思源宋体 CN Light" w:hAnsi="思源宋体 CN Light" w:eastAsia="思源宋体 CN Light"/>
          <w:b/>
          <w:sz w:val="52"/>
          <w:szCs w:val="52"/>
          <w:lang w:val="en-US" w:eastAsia="zh-CN"/>
        </w:rPr>
        <w:t>1.0</w:t>
      </w:r>
    </w:p>
    <w:p>
      <w:pPr>
        <w:widowControl/>
        <w:jc w:val="center"/>
        <w:rPr>
          <w:rFonts w:ascii="思源宋体 CN Light" w:hAnsi="思源宋体 CN Light" w:eastAsia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黑体"/>
          <w:b/>
          <w:sz w:val="32"/>
          <w:szCs w:val="32"/>
        </w:rPr>
        <w:t>版 本 历 史</w:t>
      </w:r>
    </w:p>
    <w:tbl>
      <w:tblPr>
        <w:tblStyle w:val="20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林佳奇</w:t>
            </w:r>
          </w:p>
        </w:tc>
        <w:tc>
          <w:tcPr>
            <w:tcW w:w="992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4"/>
              <w:jc w:val="center"/>
              <w:rPr>
                <w:rFonts w:hint="default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4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.0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5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17</w:t>
            </w:r>
          </w:p>
        </w:tc>
        <w:tc>
          <w:tcPr>
            <w:tcW w:w="3169" w:type="dxa"/>
          </w:tcPr>
          <w:p>
            <w:pPr>
              <w:pStyle w:val="34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全章</w:t>
            </w:r>
          </w:p>
        </w:tc>
      </w:tr>
    </w:tbl>
    <w:p>
      <w:pPr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680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ascii="思源宋体 CN Light" w:hAnsi="思源宋体 CN Light" w:eastAsia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pacing w:val="200"/>
          <w:sz w:val="32"/>
          <w:szCs w:val="32"/>
        </w:rPr>
        <w:t>目录</w:t>
      </w:r>
    </w:p>
    <w:p>
      <w:pPr>
        <w:pStyle w:val="15"/>
        <w:tabs>
          <w:tab w:val="right" w:leader="dot" w:pos="8306"/>
        </w:tabs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_Toc895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一、 </w:t>
      </w:r>
      <w:r>
        <w:rPr>
          <w:rFonts w:ascii="思源宋体 CN Light" w:hAnsi="思源宋体 CN Light"/>
        </w:rPr>
        <w:t>系统前期准备</w:t>
      </w:r>
      <w:r>
        <w:tab/>
      </w:r>
      <w:r>
        <w:fldChar w:fldCharType="begin"/>
      </w:r>
      <w:r>
        <w:instrText xml:space="preserve"> PAGEREF _Toc895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_Toc10204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ascii="思源宋体 CN Light" w:hAnsi="思源宋体 CN Light"/>
        </w:rPr>
        <w:t>浏览器配置</w:t>
      </w:r>
      <w:r>
        <w:tab/>
      </w:r>
      <w:r>
        <w:fldChar w:fldCharType="begin"/>
      </w:r>
      <w:r>
        <w:instrText xml:space="preserve"> PAGEREF _Toc10204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_Toc9977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1.1.1、 </w:t>
      </w:r>
      <w:r>
        <w:rPr>
          <w:rFonts w:ascii="思源宋体 CN Light" w:hAnsi="思源宋体 CN Light"/>
        </w:rPr>
        <w:t>Internet选项</w:t>
      </w:r>
      <w:r>
        <w:tab/>
      </w:r>
      <w:r>
        <w:fldChar w:fldCharType="begin"/>
      </w:r>
      <w:r>
        <w:instrText xml:space="preserve"> PAGEREF _Toc9977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_Toc13559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1.1.2、 </w:t>
      </w:r>
      <w:r>
        <w:rPr>
          <w:lang w:val="en-US" w:eastAsia="zh-CN"/>
        </w:rPr>
        <w:t>关闭拦截工具</w:t>
      </w:r>
      <w:r>
        <w:tab/>
      </w:r>
      <w:r>
        <w:fldChar w:fldCharType="begin"/>
      </w:r>
      <w:r>
        <w:instrText xml:space="preserve"> PAGEREF _Toc13559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_Toc14634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  <w:lang w:val="en-US" w:eastAsia="zh-CN"/>
        </w:rPr>
        <w:t xml:space="preserve">1.1.3、 </w:t>
      </w:r>
      <w:r>
        <w:rPr>
          <w:rFonts w:hint="eastAsia"/>
          <w:lang w:val="en-US" w:eastAsia="zh-CN"/>
        </w:rPr>
        <w:t>Edge浏览器操作</w:t>
      </w:r>
      <w:r>
        <w:tab/>
      </w:r>
      <w:r>
        <w:fldChar w:fldCharType="begin"/>
      </w:r>
      <w:r>
        <w:instrText xml:space="preserve"> PAGEREF _Toc14634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306"/>
        </w:tabs>
      </w:pPr>
      <w:r>
        <w:fldChar w:fldCharType="begin"/>
      </w:r>
      <w:r>
        <w:instrText xml:space="preserve"> HYPERLINK \l _Toc29050 </w:instrText>
      </w:r>
      <w:r>
        <w:fldChar w:fldCharType="separate"/>
      </w:r>
      <w:r>
        <w:rPr>
          <w:rFonts w:hint="eastAsia" w:ascii="思源宋体 CN Light" w:hAnsi="思源宋体 CN Light"/>
        </w:rPr>
        <w:t xml:space="preserve">二、 </w:t>
      </w:r>
      <w:r>
        <w:rPr>
          <w:rFonts w:hint="eastAsia" w:ascii="思源宋体 CN Light" w:hAnsi="思源宋体 CN Light"/>
          <w:lang w:val="en-US" w:eastAsia="zh-CN"/>
        </w:rPr>
        <w:t>唱标异议功能使用</w:t>
      </w:r>
      <w:r>
        <w:tab/>
      </w:r>
      <w:r>
        <w:fldChar w:fldCharType="begin"/>
      </w:r>
      <w:r>
        <w:instrText xml:space="preserve"> PAGEREF _Toc29050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_Toc19328 </w:instrText>
      </w:r>
      <w: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思源宋体 CN Light" w:hAnsi="思源宋体 CN Light"/>
          <w:lang w:val="en-US" w:eastAsia="zh-CN"/>
        </w:rPr>
        <w:t>功能介绍：</w:t>
      </w:r>
      <w:r>
        <w:tab/>
      </w:r>
      <w:r>
        <w:fldChar w:fldCharType="begin"/>
      </w:r>
      <w:r>
        <w:instrText xml:space="preserve"> PAGEREF _Toc19328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rPr>
          <w:rFonts w:hint="eastAsia"/>
        </w:rPr>
      </w:pPr>
      <w:r>
        <w:fldChar w:fldCharType="end"/>
      </w:r>
    </w:p>
    <w:p>
      <w:pPr>
        <w:rPr>
          <w:rFonts w:hint="eastAsia"/>
        </w:rPr>
      </w:pPr>
    </w:p>
    <w:p/>
    <w:p>
      <w:pPr>
        <w:pStyle w:val="2"/>
        <w:rPr>
          <w:rFonts w:ascii="思源宋体 CN Light" w:hAnsi="思源宋体 CN Light"/>
        </w:rPr>
      </w:pPr>
      <w:bookmarkStart w:id="0" w:name="_Toc475978914"/>
      <w:bookmarkStart w:id="1" w:name="_Toc9536"/>
      <w:bookmarkStart w:id="2" w:name="_Toc39822410"/>
      <w:bookmarkStart w:id="3" w:name="_Toc313"/>
      <w:bookmarkStart w:id="4" w:name="_Toc27303"/>
      <w:bookmarkStart w:id="5" w:name="_Toc50105269"/>
      <w:bookmarkStart w:id="6" w:name="_Toc895"/>
      <w:r>
        <w:rPr>
          <w:rFonts w:ascii="思源宋体 CN Light" w:hAnsi="思源宋体 CN 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rPr>
          <w:rFonts w:ascii="思源宋体 CN Light" w:hAnsi="思源宋体 CN Light"/>
        </w:rPr>
      </w:pPr>
      <w:bookmarkStart w:id="7" w:name="_Toc475978926"/>
      <w:bookmarkStart w:id="8" w:name="_Toc39822413"/>
      <w:bookmarkStart w:id="9" w:name="_Toc30445"/>
      <w:bookmarkStart w:id="10" w:name="_Toc6021"/>
      <w:bookmarkStart w:id="11" w:name="_Toc50105272"/>
      <w:bookmarkStart w:id="12" w:name="_Toc7579"/>
      <w:bookmarkStart w:id="13" w:name="_Toc10204"/>
      <w:r>
        <w:rPr>
          <w:rFonts w:ascii="思源宋体 CN Light" w:hAnsi="思源宋体 CN Light"/>
        </w:rPr>
        <w:t>浏览器配置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rPr>
          <w:rFonts w:ascii="思源宋体 CN Light" w:hAnsi="思源宋体 CN Light"/>
        </w:rPr>
      </w:pPr>
      <w:bookmarkStart w:id="14" w:name="_Toc31377"/>
      <w:bookmarkStart w:id="15" w:name="_Toc39822414"/>
      <w:bookmarkStart w:id="16" w:name="_Toc475978927"/>
      <w:bookmarkStart w:id="17" w:name="_Toc50105273"/>
      <w:bookmarkStart w:id="18" w:name="_Toc1203"/>
      <w:bookmarkStart w:id="19" w:name="_Toc12454"/>
      <w:bookmarkStart w:id="20" w:name="_Toc9977"/>
      <w:r>
        <w:rPr>
          <w:rFonts w:ascii="思源宋体 CN Light" w:hAnsi="思源宋体 CN Light"/>
        </w:rPr>
        <w:t>Internet选项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1、打开浏览器，在“工具”菜单→“Internet选项”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5、设置自定义安全级别，开放Activex的访问权限：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60288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KzU231gAAAAsBAAAPAAAAAAAAAAEA&#10;IAAAACIAAABkcnMvZG93bnJldi54bWxQSwECFAAUAAAACACHTuJATlNRv4MCAAAQBQAADgAAAAAA&#10;AAABACAAAAAlAQAAZHJzL2Uyb0RvYy54bWxQSwUGAAAAAAYABgBZAQAAGgY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文件下载设置，开放文件下载的权限：设置为启用。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zCs w:val="21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思源宋体 CN Light" w:hAnsi="思源宋体 CN Light" w:eastAsia="思源宋体 CN Light"/>
          <w:szCs w:val="21"/>
        </w:rPr>
      </w:pPr>
    </w:p>
    <w:p>
      <w:pPr>
        <w:pStyle w:val="4"/>
        <w:bidi w:val="0"/>
        <w:rPr>
          <w:lang w:val="en-US" w:eastAsia="zh-CN"/>
        </w:rPr>
      </w:pPr>
      <w:bookmarkStart w:id="21" w:name="_Toc31073"/>
      <w:bookmarkStart w:id="22" w:name="_Toc23680"/>
      <w:bookmarkStart w:id="23" w:name="_Toc47536831"/>
      <w:bookmarkStart w:id="24" w:name="_Toc346183641"/>
      <w:bookmarkStart w:id="25" w:name="_Toc47532186"/>
      <w:bookmarkStart w:id="26" w:name="_Toc13559"/>
      <w:r>
        <w:rPr>
          <w:lang w:val="en-US" w:eastAsia="zh-CN"/>
        </w:rPr>
        <w:t>关闭拦截工具</w:t>
      </w:r>
      <w:bookmarkEnd w:id="21"/>
      <w:bookmarkEnd w:id="22"/>
      <w:bookmarkEnd w:id="23"/>
      <w:bookmarkEnd w:id="24"/>
      <w:bookmarkEnd w:id="25"/>
      <w:bookmarkEnd w:id="26"/>
    </w:p>
    <w:p>
      <w:r>
        <w:t>上述操作完成后，如果系统中某些功能仍不能使用，请将拦截工具关闭再试用。比如在windows工具栏中关闭弹出窗口阻止程序的操作，如下图：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1135" cy="3688715"/>
            <wp:effectExtent l="0" t="0" r="12065" b="698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</w:pPr>
    </w:p>
    <w:p>
      <w:pPr>
        <w:pStyle w:val="4"/>
        <w:bidi w:val="0"/>
        <w:rPr>
          <w:rFonts w:hint="default"/>
          <w:lang w:val="en-US" w:eastAsia="zh-CN"/>
        </w:rPr>
      </w:pPr>
      <w:bookmarkStart w:id="27" w:name="_Toc14184"/>
      <w:bookmarkStart w:id="28" w:name="_Toc28695"/>
      <w:bookmarkStart w:id="29" w:name="_Toc14634"/>
      <w:r>
        <w:rPr>
          <w:rFonts w:hint="eastAsia"/>
          <w:lang w:val="en-US" w:eastAsia="zh-CN"/>
        </w:rPr>
        <w:t>Edge浏览器操作</w:t>
      </w:r>
      <w:bookmarkEnd w:id="27"/>
      <w:bookmarkEnd w:id="28"/>
      <w:bookmarkEnd w:id="29"/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若电脑使用Edge浏览器，无法打开ie,电脑搜索框搜索“internet选项”进行配置即可。</w:t>
      </w:r>
    </w:p>
    <w:p>
      <w:pPr>
        <w:pStyle w:val="23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4180840"/>
            <wp:effectExtent l="0" t="0" r="10160" b="10160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 打开网页后点击右侧设置，选择“在ie模式下重新加载”</w:t>
      </w:r>
    </w:p>
    <w:p>
      <w:pPr>
        <w:pStyle w:val="23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917315"/>
            <wp:effectExtent l="0" t="0" r="1270" b="698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</w:pPr>
    </w:p>
    <w:p>
      <w:pPr>
        <w:widowControl w:val="0"/>
        <w:spacing w:line="360" w:lineRule="auto"/>
        <w:ind w:firstLine="420" w:firstLineChars="200"/>
        <w:rPr>
          <w:rFonts w:ascii="Calibri" w:hAnsi="Calibri" w:eastAsia="思源宋体 CN Light" w:cs="宋体"/>
          <w:color w:val="000000"/>
          <w:kern w:val="2"/>
          <w:sz w:val="21"/>
          <w:szCs w:val="20"/>
          <w:lang w:val="en-US" w:eastAsia="zh-CN" w:bidi="ar-SA"/>
        </w:rPr>
      </w:pPr>
    </w:p>
    <w:p>
      <w:pPr>
        <w:pStyle w:val="35"/>
        <w:ind w:firstLine="0" w:firstLineChars="0"/>
        <w:jc w:val="center"/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br w:type="page"/>
      </w:r>
    </w:p>
    <w:p>
      <w:pPr>
        <w:pStyle w:val="2"/>
        <w:rPr>
          <w:rFonts w:ascii="思源宋体 CN Light" w:hAnsi="思源宋体 CN Light"/>
        </w:rPr>
      </w:pPr>
      <w:bookmarkStart w:id="30" w:name="_Toc29050"/>
      <w:r>
        <w:rPr>
          <w:rFonts w:hint="eastAsia" w:ascii="思源宋体 CN Light" w:hAnsi="思源宋体 CN Light"/>
          <w:lang w:val="en-US" w:eastAsia="zh-CN"/>
        </w:rPr>
        <w:t>唱标异议功能使用</w:t>
      </w:r>
      <w:bookmarkEnd w:id="30"/>
    </w:p>
    <w:p>
      <w:pPr>
        <w:pStyle w:val="3"/>
        <w:rPr>
          <w:rFonts w:ascii="思源宋体 CN Light" w:hAnsi="思源宋体 CN Light"/>
        </w:rPr>
      </w:pPr>
      <w:bookmarkStart w:id="31" w:name="_Toc19328"/>
      <w:r>
        <w:rPr>
          <w:rFonts w:hint="eastAsia" w:ascii="思源宋体 CN Light" w:hAnsi="思源宋体 CN Light"/>
          <w:lang w:val="en-US" w:eastAsia="zh-CN"/>
        </w:rPr>
        <w:t>功能介绍：</w:t>
      </w:r>
      <w:bookmarkEnd w:id="31"/>
    </w:p>
    <w:p>
      <w:pPr>
        <w:spacing w:line="360" w:lineRule="auto"/>
        <w:ind w:firstLine="420" w:firstLineChars="20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1、投标单位点击【远程解密】按钮，点击查看【查看唱标项目】：</w:t>
      </w:r>
    </w:p>
    <w:p>
      <w:pPr>
        <w:widowControl/>
        <w:numPr>
          <w:numId w:val="0"/>
        </w:numPr>
        <w:jc w:val="left"/>
      </w:pPr>
      <w:r>
        <w:drawing>
          <wp:inline distT="0" distB="0" distL="114300" distR="114300">
            <wp:extent cx="5269230" cy="2757170"/>
            <wp:effectExtent l="0" t="0" r="12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117725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2、唱标页面展示当前所有单位的报价情况，点击新增【唱标异议】功能，页面跳转到评标系统唱标界面。</w:t>
      </w:r>
    </w:p>
    <w:p>
      <w:pPr>
        <w:widowControl/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9230" cy="2149475"/>
            <wp:effectExtent l="0" t="0" r="127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52320"/>
            <wp:effectExtent l="0" t="0" r="952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3.点击【新增异议】按钮，填写异议标题、异议内容，上传相关附件（支持多种格式）后点击【发起异议】，标题字数限制100字，内容限制500字，超出字数限制无法提交。</w:t>
      </w:r>
    </w:p>
    <w:p>
      <w:pPr>
        <w:widowControl/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63515" cy="2491740"/>
            <wp:effectExtent l="0" t="0" r="6985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4、上传附件后，点击查看附件进行查看，点击删除按钮可对上传的附件进行删除。</w:t>
      </w:r>
    </w:p>
    <w:p>
      <w:pPr>
        <w:widowControl/>
        <w:numPr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drawing>
          <wp:inline distT="0" distB="0" distL="114300" distR="114300">
            <wp:extent cx="5273040" cy="2252980"/>
            <wp:effectExtent l="0" t="0" r="10160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5、</w:t>
      </w:r>
      <w:r>
        <w:rPr>
          <w:rFonts w:hint="eastAsia" w:ascii="思源宋体 CN Light" w:hAnsi="思源宋体 CN Light" w:eastAsia="思源宋体 CN Light"/>
          <w:lang w:val="en-US" w:eastAsia="zh-CN"/>
        </w:rPr>
        <w:t>投标单位点击提交按钮，页面显示“发起异议成功！”</w:t>
      </w:r>
    </w:p>
    <w:p>
      <w:pPr>
        <w:widowControl/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1770" cy="2331720"/>
            <wp:effectExtent l="0" t="0" r="11430" b="50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524000"/>
            <wp:effectExtent l="0" t="0" r="508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6、发起唱标异议后，评标系统代理端会收到代办提醒，点击代办跳转到异议页面，或者直接点击对应菜单进入list页面，找到对应“待回复”提问进行回复。</w:t>
      </w:r>
    </w:p>
    <w:p>
      <w:pPr>
        <w:widowControl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548890"/>
            <wp:effectExtent l="0" t="0" r="0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drawing>
          <wp:inline distT="0" distB="0" distL="114300" distR="114300">
            <wp:extent cx="5268595" cy="1658620"/>
            <wp:effectExtent l="0" t="0" r="1905" b="508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7、</w:t>
      </w:r>
      <w:r>
        <w:rPr>
          <w:rFonts w:hint="eastAsia" w:ascii="思源宋体 CN Light" w:hAnsi="思源宋体 CN Light" w:eastAsia="思源宋体 CN Light"/>
          <w:lang w:val="en-US" w:eastAsia="zh-CN"/>
        </w:rPr>
        <w:t>异议菜单界面分类分为三种状态：“待回复”、“已回复”、“全部”。投标单位编辑中问题，代理无法查看，只可查看提交过的问题。投标单位发起提问的截止时间为开标结束，若开标结束后点击新增“唱标异议”按钮，系统提示：“开标结束，无法发起！”，代理回复无截止时间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drawing>
          <wp:inline distT="0" distB="0" distL="114300" distR="114300">
            <wp:extent cx="5273040" cy="2232660"/>
            <wp:effectExtent l="0" t="0" r="10160" b="254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GoBack"/>
      <w:bookmarkEnd w:id="32"/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8、代理回复页面点击对应提问进入，显示投标单位提问的所有字段，同时增加“代理回复”、“代理回复相关附件”，其中回复配置文字编辑框（字数限制500字），相关附件非必传，支持多种格式。</w:t>
      </w:r>
    </w:p>
    <w:p>
      <w:pPr>
        <w:widowControl/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2405" cy="2303780"/>
            <wp:effectExtent l="0" t="0" r="10795" b="762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9、投标单位唱标异议菜单列表显示与代理相同，但是只能看到自己单位的提问；代理、工作人员、系统管理员可看到本标段所有投标单位的提问与回复情况。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rPr>
          <w:rFonts w:hint="eastAsia" w:ascii="思源宋体 CN Light" w:hAnsi="思源宋体 CN Light" w:eastAsia="思源宋体 CN Light"/>
          <w:lang w:val="en-US" w:eastAsia="zh-CN"/>
        </w:rPr>
        <w:t>10、代理机构填写文字、上传附件后点击回复异议即可成功回复。</w:t>
      </w:r>
    </w:p>
    <w:p>
      <w:pPr>
        <w:widowControl/>
        <w:numPr>
          <w:numId w:val="0"/>
        </w:numPr>
        <w:ind w:leftChars="0"/>
        <w:jc w:val="left"/>
      </w:pPr>
      <w:r>
        <w:drawing>
          <wp:inline distT="0" distB="0" distL="114300" distR="114300">
            <wp:extent cx="5274310" cy="2381885"/>
            <wp:effectExtent l="0" t="0" r="8890" b="571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ind w:leftChars="0"/>
        <w:jc w:val="left"/>
        <w:rPr>
          <w:rFonts w:hint="eastAsia" w:ascii="思源宋体 CN Light" w:hAnsi="思源宋体 CN Light" w:eastAsia="思源宋体 CN Light"/>
          <w:lang w:val="en-US" w:eastAsia="zh-CN"/>
        </w:rPr>
      </w:pPr>
      <w:r>
        <w:drawing>
          <wp:inline distT="0" distB="0" distL="114300" distR="114300">
            <wp:extent cx="5263515" cy="2390140"/>
            <wp:effectExtent l="0" t="0" r="6985" b="1016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11、</w:t>
      </w:r>
      <w:r>
        <w:rPr>
          <w:rFonts w:hint="eastAsia" w:ascii="思源宋体 CN Light" w:hAnsi="思源宋体 CN Light" w:eastAsia="思源宋体 CN Light"/>
          <w:lang w:val="en-US" w:eastAsia="zh-CN"/>
        </w:rPr>
        <w:t>同时投标单位与代理侧异议回复状态变成已回复：</w:t>
      </w:r>
    </w:p>
    <w:p>
      <w:pPr>
        <w:widowControl/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556385"/>
            <wp:effectExtent l="0" t="0" r="8890" b="571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思源宋体 CN Light" w:hAnsi="思源宋体 CN Light" w:eastAsia="思源宋体 CN Light"/>
        </w:rPr>
      </w:pPr>
    </w:p>
    <w:p>
      <w:pPr>
        <w:rPr>
          <w:rFonts w:hint="eastAsia"/>
          <w:color w:val="FF0000"/>
          <w:lang w:val="en-US" w:eastAsia="zh-CN"/>
        </w:rPr>
      </w:pPr>
    </w:p>
    <w:sectPr>
      <w:footerReference r:id="rId6" w:type="default"/>
      <w:pgSz w:w="11906" w:h="16838"/>
      <w:pgMar w:top="1440" w:right="1800" w:bottom="1440" w:left="1800" w:header="850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ExtraLight" w:hAnsi="思源宋体 CN ExtraLight" w:eastAsia="思源宋体 CN ExtraLight" w:cs="Times New Roman"/>
        <w:i/>
        <w:iCs/>
        <w:color w:val="8C8C8C"/>
        <w:sz w:val="18"/>
        <w:szCs w:val="18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15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>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  <w:lang w:val="en-US" w:eastAsia="zh-CN"/>
      </w:rPr>
      <w:t>唱标异议</w:t>
    </w:r>
    <w:r>
      <w:rPr>
        <w:rFonts w:hint="eastAsia" w:ascii="思源宋体 CN Light" w:hAnsi="思源宋体 CN Light" w:eastAsia="思源宋体 CN Light"/>
        <w:sz w:val="18"/>
      </w:rPr>
      <w:t>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5AC0EA"/>
    <w:multiLevelType w:val="singleLevel"/>
    <w:tmpl w:val="395AC0EA"/>
    <w:lvl w:ilvl="0" w:tentative="0">
      <w:start w:val="1"/>
      <w:numFmt w:val="decimalEnclosedCircleChinese"/>
      <w:suff w:val="space"/>
      <w:lvlText w:val="%1"/>
      <w:lvlJc w:val="left"/>
      <w:rPr>
        <w:rFonts w:hint="eastAsia"/>
      </w:r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ODlmYmZmMDNjODk5NjdlNWIwMTU4ODg2YzA1MGYifQ=="/>
  </w:docVars>
  <w:rsids>
    <w:rsidRoot w:val="003B4C9C"/>
    <w:rsid w:val="001644EA"/>
    <w:rsid w:val="0017041B"/>
    <w:rsid w:val="0017481B"/>
    <w:rsid w:val="00187ACB"/>
    <w:rsid w:val="002111D9"/>
    <w:rsid w:val="00224B05"/>
    <w:rsid w:val="00243895"/>
    <w:rsid w:val="002966B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E5A66"/>
    <w:rsid w:val="0096322A"/>
    <w:rsid w:val="009C2916"/>
    <w:rsid w:val="009F7336"/>
    <w:rsid w:val="00B43476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64EB"/>
    <w:rsid w:val="07AE16F2"/>
    <w:rsid w:val="0ABD559D"/>
    <w:rsid w:val="0B3E3E02"/>
    <w:rsid w:val="0CFF1D29"/>
    <w:rsid w:val="0FFF56D6"/>
    <w:rsid w:val="179F59E1"/>
    <w:rsid w:val="1D8051BB"/>
    <w:rsid w:val="20E07B8D"/>
    <w:rsid w:val="246D129D"/>
    <w:rsid w:val="2489380E"/>
    <w:rsid w:val="309C4C62"/>
    <w:rsid w:val="31155810"/>
    <w:rsid w:val="34880F47"/>
    <w:rsid w:val="36741CAE"/>
    <w:rsid w:val="36E13C33"/>
    <w:rsid w:val="38012092"/>
    <w:rsid w:val="3D370996"/>
    <w:rsid w:val="3F327BFC"/>
    <w:rsid w:val="422B3B04"/>
    <w:rsid w:val="43CF0A2D"/>
    <w:rsid w:val="44EB5074"/>
    <w:rsid w:val="46AE0BD9"/>
    <w:rsid w:val="4C9A454F"/>
    <w:rsid w:val="5F75617B"/>
    <w:rsid w:val="61C15398"/>
    <w:rsid w:val="68590CA1"/>
    <w:rsid w:val="700E45FE"/>
    <w:rsid w:val="709613D5"/>
    <w:rsid w:val="7278423E"/>
    <w:rsid w:val="744F1AF7"/>
    <w:rsid w:val="746B53E3"/>
    <w:rsid w:val="7C127354"/>
    <w:rsid w:val="7DB36601"/>
    <w:rsid w:val="7E0523A7"/>
    <w:rsid w:val="7E08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28"/>
    <w:autoRedefine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30"/>
    <w:autoRedefine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6"/>
    <w:basedOn w:val="1"/>
    <w:next w:val="1"/>
    <w:link w:val="31"/>
    <w:autoRedefine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2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autoRedefine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toc 5"/>
    <w:basedOn w:val="1"/>
    <w:next w:val="1"/>
    <w:autoRedefine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0">
    <w:name w:val="toc 3"/>
    <w:basedOn w:val="1"/>
    <w:next w:val="1"/>
    <w:autoRedefine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1">
    <w:name w:val="toc 8"/>
    <w:basedOn w:val="1"/>
    <w:next w:val="1"/>
    <w:autoRedefine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2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6">
    <w:name w:val="toc 4"/>
    <w:basedOn w:val="1"/>
    <w:next w:val="1"/>
    <w:autoRedefine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7">
    <w:name w:val="toc 6"/>
    <w:basedOn w:val="1"/>
    <w:next w:val="1"/>
    <w:autoRedefine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8">
    <w:name w:val="toc 2"/>
    <w:basedOn w:val="1"/>
    <w:next w:val="1"/>
    <w:autoRedefine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19">
    <w:name w:val="toc 9"/>
    <w:basedOn w:val="1"/>
    <w:next w:val="1"/>
    <w:autoRedefine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2">
    <w:name w:val="Hyperlink"/>
    <w:basedOn w:val="2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样式 首行缩进:  2 字符"/>
    <w:basedOn w:val="1"/>
    <w:autoRedefine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character" w:customStyle="1" w:styleId="24">
    <w:name w:val="页眉 Char"/>
    <w:basedOn w:val="21"/>
    <w:link w:val="14"/>
    <w:autoRedefine/>
    <w:qFormat/>
    <w:uiPriority w:val="99"/>
    <w:rPr>
      <w:sz w:val="18"/>
      <w:szCs w:val="18"/>
    </w:rPr>
  </w:style>
  <w:style w:type="character" w:customStyle="1" w:styleId="25">
    <w:name w:val="页脚 Char"/>
    <w:basedOn w:val="21"/>
    <w:link w:val="13"/>
    <w:autoRedefine/>
    <w:qFormat/>
    <w:uiPriority w:val="99"/>
    <w:rPr>
      <w:sz w:val="18"/>
      <w:szCs w:val="18"/>
    </w:rPr>
  </w:style>
  <w:style w:type="character" w:customStyle="1" w:styleId="26">
    <w:name w:val="标题 1 Char"/>
    <w:basedOn w:val="21"/>
    <w:link w:val="2"/>
    <w:autoRedefine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1"/>
    <w:link w:val="3"/>
    <w:autoRedefine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28">
    <w:name w:val="标题 3 Char"/>
    <w:basedOn w:val="21"/>
    <w:link w:val="4"/>
    <w:autoRedefine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29">
    <w:name w:val="标题 4 Char"/>
    <w:basedOn w:val="21"/>
    <w:link w:val="5"/>
    <w:autoRedefine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0">
    <w:name w:val="标题 5 Char"/>
    <w:basedOn w:val="21"/>
    <w:link w:val="6"/>
    <w:autoRedefine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1">
    <w:name w:val="标题 6 Char"/>
    <w:basedOn w:val="21"/>
    <w:link w:val="7"/>
    <w:autoRedefine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批注框文本 Char"/>
    <w:basedOn w:val="21"/>
    <w:link w:val="12"/>
    <w:autoRedefine/>
    <w:semiHidden/>
    <w:qFormat/>
    <w:uiPriority w:val="99"/>
    <w:rPr>
      <w:kern w:val="2"/>
      <w:sz w:val="18"/>
      <w:szCs w:val="18"/>
    </w:rPr>
  </w:style>
  <w:style w:type="paragraph" w:styleId="33">
    <w:name w:val="List Paragraph"/>
    <w:basedOn w:val="1"/>
    <w:autoRedefine/>
    <w:unhideWhenUsed/>
    <w:qFormat/>
    <w:uiPriority w:val="99"/>
    <w:pPr>
      <w:ind w:firstLine="420" w:firstLineChars="200"/>
    </w:pPr>
  </w:style>
  <w:style w:type="paragraph" w:styleId="34">
    <w:name w:val="No Spacing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Indent Normal"/>
    <w:basedOn w:val="1"/>
    <w:autoRedefine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6">
    <w:name w:val="TOC 标题1"/>
    <w:basedOn w:val="2"/>
    <w:next w:val="1"/>
    <w:autoRedefine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37">
    <w:name w:val="_Style 2"/>
    <w:autoRedefine/>
    <w:qFormat/>
    <w:uiPriority w:val="19"/>
    <w:rPr>
      <w:i/>
      <w:iCs/>
      <w:color w:val="4040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1C95E-F530-45DC-92BC-3A48508D9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455</Words>
  <Characters>2595</Characters>
  <Lines>21</Lines>
  <Paragraphs>6</Paragraphs>
  <TotalTime>0</TotalTime>
  <ScaleCrop>false</ScaleCrop>
  <LinksUpToDate>false</LinksUpToDate>
  <CharactersWithSpaces>3044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NTKO</cp:lastModifiedBy>
  <dcterms:modified xsi:type="dcterms:W3CDTF">2024-05-21T07:49:41Z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1ECC07DBA774438598BE8F7BAB2A7CFD_12</vt:lpwstr>
  </property>
</Properties>
</file>